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79" w:rsidRDefault="00A17A06" w:rsidP="009C51A1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 xml:space="preserve">Объекты историко-культурного наследия на территории </w:t>
      </w:r>
      <w:proofErr w:type="spellStart"/>
      <w:r w:rsidRPr="001F2CCA">
        <w:rPr>
          <w:rStyle w:val="a7"/>
          <w:color w:val="1B1B1B"/>
          <w:spacing w:val="1"/>
          <w:sz w:val="30"/>
          <w:szCs w:val="30"/>
        </w:rPr>
        <w:t>Мядельского</w:t>
      </w:r>
      <w:proofErr w:type="spellEnd"/>
      <w:r w:rsidRPr="001F2CCA">
        <w:rPr>
          <w:rStyle w:val="a7"/>
          <w:color w:val="1B1B1B"/>
          <w:spacing w:val="1"/>
          <w:sz w:val="30"/>
          <w:szCs w:val="30"/>
        </w:rPr>
        <w:t xml:space="preserve"> района,</w:t>
      </w:r>
      <w:r w:rsidRPr="001F2CCA">
        <w:rPr>
          <w:color w:val="1B1B1B"/>
          <w:spacing w:val="1"/>
          <w:sz w:val="30"/>
          <w:szCs w:val="30"/>
        </w:rPr>
        <w:t xml:space="preserve"> </w:t>
      </w:r>
      <w:r w:rsidRPr="001F2CCA">
        <w:rPr>
          <w:rStyle w:val="a7"/>
          <w:color w:val="1B1B1B"/>
          <w:spacing w:val="1"/>
          <w:sz w:val="30"/>
          <w:szCs w:val="30"/>
        </w:rPr>
        <w:t>которые не используются</w:t>
      </w:r>
    </w:p>
    <w:p w:rsidR="009C51A1" w:rsidRPr="009C51A1" w:rsidRDefault="009C51A1" w:rsidP="009C51A1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1B1B1B"/>
          <w:spacing w:val="1"/>
          <w:sz w:val="30"/>
          <w:szCs w:val="30"/>
        </w:rPr>
      </w:pPr>
    </w:p>
    <w:p w:rsidR="006A3D38" w:rsidRPr="006A3D38" w:rsidRDefault="006A3D38" w:rsidP="006A3D38">
      <w:pPr>
        <w:shd w:val="clear" w:color="auto" w:fill="FFFFFF"/>
        <w:spacing w:line="420" w:lineRule="atLeast"/>
        <w:jc w:val="center"/>
        <w:outlineLvl w:val="2"/>
        <w:rPr>
          <w:color w:val="454545"/>
          <w:sz w:val="30"/>
          <w:szCs w:val="30"/>
        </w:rPr>
      </w:pPr>
      <w:bookmarkStart w:id="0" w:name="_GoBack"/>
      <w:r w:rsidRPr="006A3D38">
        <w:rPr>
          <w:b/>
          <w:bCs/>
          <w:color w:val="454545"/>
          <w:sz w:val="30"/>
          <w:szCs w:val="30"/>
        </w:rPr>
        <w:t>ЗДАНИЕ БЫВШЕЙ ШКОЛЫ</w:t>
      </w:r>
    </w:p>
    <w:bookmarkEnd w:id="0"/>
    <w:p w:rsidR="006A3D38" w:rsidRPr="006A3D38" w:rsidRDefault="006A3D38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b/>
          <w:bCs/>
          <w:color w:val="1B1B1B"/>
          <w:spacing w:val="1"/>
          <w:sz w:val="30"/>
          <w:szCs w:val="30"/>
        </w:rPr>
        <w:t>Шифр: </w:t>
      </w:r>
      <w:r w:rsidRPr="006A3D38">
        <w:rPr>
          <w:color w:val="1B1B1B"/>
          <w:spacing w:val="1"/>
          <w:sz w:val="30"/>
          <w:szCs w:val="30"/>
        </w:rPr>
        <w:t>613 Г000661</w:t>
      </w:r>
    </w:p>
    <w:p w:rsidR="006A3D38" w:rsidRPr="006A3D38" w:rsidRDefault="006A3D38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b/>
          <w:bCs/>
          <w:color w:val="1B1B1B"/>
          <w:spacing w:val="1"/>
          <w:sz w:val="30"/>
          <w:szCs w:val="30"/>
        </w:rPr>
        <w:t>Место нахождения историко-культурной ценности: </w:t>
      </w:r>
      <w:r w:rsidRPr="006A3D38">
        <w:rPr>
          <w:color w:val="1B1B1B"/>
          <w:spacing w:val="1"/>
          <w:sz w:val="30"/>
          <w:szCs w:val="30"/>
        </w:rPr>
        <w:t xml:space="preserve">Минская область, Мядельский район, </w:t>
      </w:r>
      <w:proofErr w:type="spellStart"/>
      <w:r w:rsidRPr="006A3D38">
        <w:rPr>
          <w:color w:val="1B1B1B"/>
          <w:spacing w:val="1"/>
          <w:sz w:val="30"/>
          <w:szCs w:val="30"/>
        </w:rPr>
        <w:t>д</w:t>
      </w:r>
      <w:proofErr w:type="gramStart"/>
      <w:r w:rsidRPr="006A3D38">
        <w:rPr>
          <w:color w:val="1B1B1B"/>
          <w:spacing w:val="1"/>
          <w:sz w:val="30"/>
          <w:szCs w:val="30"/>
        </w:rPr>
        <w:t>.К</w:t>
      </w:r>
      <w:proofErr w:type="gramEnd"/>
      <w:r w:rsidRPr="006A3D38">
        <w:rPr>
          <w:color w:val="1B1B1B"/>
          <w:spacing w:val="1"/>
          <w:sz w:val="30"/>
          <w:szCs w:val="30"/>
        </w:rPr>
        <w:t>омарово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6A3D38">
        <w:rPr>
          <w:color w:val="1B1B1B"/>
          <w:spacing w:val="1"/>
          <w:sz w:val="30"/>
          <w:szCs w:val="30"/>
        </w:rPr>
        <w:t>ул.Школьная</w:t>
      </w:r>
      <w:proofErr w:type="spellEnd"/>
      <w:r w:rsidRPr="006A3D38">
        <w:rPr>
          <w:color w:val="1B1B1B"/>
          <w:spacing w:val="1"/>
          <w:sz w:val="30"/>
          <w:szCs w:val="30"/>
        </w:rPr>
        <w:t>, 12</w:t>
      </w:r>
    </w:p>
    <w:p w:rsidR="006A3D38" w:rsidRPr="006A3D38" w:rsidRDefault="006A3D38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b/>
          <w:bCs/>
          <w:color w:val="1B1B1B"/>
          <w:spacing w:val="1"/>
          <w:sz w:val="30"/>
          <w:szCs w:val="30"/>
        </w:rPr>
        <w:t>Категория: </w:t>
      </w:r>
      <w:r w:rsidRPr="006A3D38">
        <w:rPr>
          <w:color w:val="1B1B1B"/>
          <w:spacing w:val="1"/>
          <w:sz w:val="30"/>
          <w:szCs w:val="30"/>
        </w:rPr>
        <w:t>«3»</w:t>
      </w:r>
    </w:p>
    <w:p w:rsidR="006A3D38" w:rsidRPr="006A3D38" w:rsidRDefault="006A3D38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b/>
          <w:bCs/>
          <w:color w:val="1B1B1B"/>
          <w:spacing w:val="1"/>
          <w:sz w:val="30"/>
          <w:szCs w:val="30"/>
        </w:rPr>
        <w:t>Собственник: </w:t>
      </w:r>
      <w:r w:rsidRPr="006A3D38">
        <w:rPr>
          <w:color w:val="1B1B1B"/>
          <w:spacing w:val="1"/>
          <w:sz w:val="30"/>
          <w:szCs w:val="30"/>
        </w:rPr>
        <w:t xml:space="preserve">Управление по образованию, спорту и туризму </w:t>
      </w:r>
      <w:proofErr w:type="spellStart"/>
      <w:r w:rsidRPr="006A3D38">
        <w:rPr>
          <w:color w:val="1B1B1B"/>
          <w:spacing w:val="1"/>
          <w:sz w:val="30"/>
          <w:szCs w:val="30"/>
        </w:rPr>
        <w:t>Мядельского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райисполкома</w:t>
      </w:r>
    </w:p>
    <w:p w:rsidR="006A3D38" w:rsidRPr="006A3D38" w:rsidRDefault="006A3D38" w:rsidP="00DC7F9D">
      <w:pPr>
        <w:shd w:val="clear" w:color="auto" w:fill="FFFFFF"/>
        <w:spacing w:after="120"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222397, Минская обл., </w:t>
      </w:r>
      <w:proofErr w:type="spellStart"/>
      <w:r w:rsidRPr="006A3D38">
        <w:rPr>
          <w:color w:val="1B1B1B"/>
          <w:spacing w:val="1"/>
          <w:sz w:val="30"/>
          <w:szCs w:val="30"/>
        </w:rPr>
        <w:t>г</w:t>
      </w:r>
      <w:proofErr w:type="gramStart"/>
      <w:r w:rsidRPr="006A3D38">
        <w:rPr>
          <w:color w:val="1B1B1B"/>
          <w:spacing w:val="1"/>
          <w:sz w:val="30"/>
          <w:szCs w:val="30"/>
        </w:rPr>
        <w:t>.М</w:t>
      </w:r>
      <w:proofErr w:type="gramEnd"/>
      <w:r w:rsidRPr="006A3D38">
        <w:rPr>
          <w:color w:val="1B1B1B"/>
          <w:spacing w:val="1"/>
          <w:sz w:val="30"/>
          <w:szCs w:val="30"/>
        </w:rPr>
        <w:t>ядель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, </w:t>
      </w:r>
      <w:proofErr w:type="spellStart"/>
      <w:r w:rsidRPr="006A3D38">
        <w:rPr>
          <w:color w:val="1B1B1B"/>
          <w:spacing w:val="1"/>
          <w:sz w:val="30"/>
          <w:szCs w:val="30"/>
        </w:rPr>
        <w:t>пл.Шаранговича</w:t>
      </w:r>
      <w:proofErr w:type="spellEnd"/>
      <w:r w:rsidRPr="006A3D38">
        <w:rPr>
          <w:color w:val="1B1B1B"/>
          <w:spacing w:val="1"/>
          <w:sz w:val="30"/>
          <w:szCs w:val="30"/>
        </w:rPr>
        <w:t>, 2</w:t>
      </w:r>
    </w:p>
    <w:p w:rsidR="006A3D38" w:rsidRDefault="006A3D38" w:rsidP="00DC7F9D">
      <w:pPr>
        <w:shd w:val="clear" w:color="auto" w:fill="FFFFFF"/>
        <w:spacing w:line="300" w:lineRule="atLeast"/>
        <w:jc w:val="both"/>
        <w:rPr>
          <w:color w:val="1B1B1B"/>
          <w:spacing w:val="1"/>
          <w:sz w:val="30"/>
          <w:szCs w:val="30"/>
        </w:rPr>
      </w:pPr>
      <w:r w:rsidRPr="006A3D38">
        <w:rPr>
          <w:b/>
          <w:bCs/>
          <w:color w:val="1B1B1B"/>
          <w:spacing w:val="1"/>
          <w:sz w:val="30"/>
          <w:szCs w:val="30"/>
        </w:rPr>
        <w:t>Контакты: </w:t>
      </w:r>
      <w:r w:rsidRPr="006A3D38">
        <w:rPr>
          <w:color w:val="1B1B1B"/>
          <w:spacing w:val="1"/>
          <w:sz w:val="30"/>
          <w:szCs w:val="30"/>
        </w:rPr>
        <w:t>+3751797 40810,  </w:t>
      </w:r>
      <w:hyperlink r:id="rId6" w:history="1">
        <w:r w:rsidRPr="006A3D38">
          <w:rPr>
            <w:color w:val="324EA9"/>
            <w:spacing w:val="1"/>
            <w:sz w:val="30"/>
            <w:szCs w:val="30"/>
            <w:u w:val="single"/>
          </w:rPr>
          <w:t>upravlenie@myadel.gov.by</w:t>
        </w:r>
      </w:hyperlink>
    </w:p>
    <w:p w:rsidR="006A3D38" w:rsidRPr="006A3D38" w:rsidRDefault="006A3D38" w:rsidP="006A3D38">
      <w:pPr>
        <w:shd w:val="clear" w:color="auto" w:fill="FFFFFF"/>
        <w:spacing w:line="300" w:lineRule="atLeast"/>
        <w:rPr>
          <w:color w:val="1B1B1B"/>
          <w:spacing w:val="1"/>
          <w:sz w:val="30"/>
          <w:szCs w:val="30"/>
        </w:rPr>
      </w:pPr>
    </w:p>
    <w:p w:rsidR="006A3D38" w:rsidRDefault="006A3D38" w:rsidP="00B414CE">
      <w:pPr>
        <w:spacing w:line="280" w:lineRule="exact"/>
        <w:ind w:left="708"/>
        <w:jc w:val="both"/>
        <w:rPr>
          <w:sz w:val="30"/>
          <w:szCs w:val="30"/>
        </w:rPr>
      </w:pPr>
      <w:r w:rsidRPr="006A3D38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198566</wp:posOffset>
            </wp:positionH>
            <wp:positionV relativeFrom="paragraph">
              <wp:posOffset>205415</wp:posOffset>
            </wp:positionV>
            <wp:extent cx="5050800" cy="2109600"/>
            <wp:effectExtent l="0" t="0" r="0" b="5080"/>
            <wp:wrapTight wrapText="bothSides">
              <wp:wrapPolygon edited="0">
                <wp:start x="0" y="0"/>
                <wp:lineTo x="0" y="21457"/>
                <wp:lineTo x="21508" y="21457"/>
                <wp:lineTo x="21508" y="0"/>
                <wp:lineTo x="0" y="0"/>
              </wp:wrapPolygon>
            </wp:wrapTight>
            <wp:docPr id="5" name="Рисунок 5" descr="C:\Users\Muz\Desktop\Новая папка\12-07-2024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z\Desktop\Новая папка\12-07-2024-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Pr="006A3D38" w:rsidRDefault="006A3D38" w:rsidP="006A3D38">
      <w:pPr>
        <w:rPr>
          <w:sz w:val="30"/>
          <w:szCs w:val="30"/>
        </w:rPr>
      </w:pPr>
    </w:p>
    <w:p w:rsidR="006A3D38" w:rsidRDefault="006A3D38" w:rsidP="006A3D38">
      <w:pPr>
        <w:rPr>
          <w:sz w:val="30"/>
          <w:szCs w:val="30"/>
        </w:rPr>
      </w:pPr>
    </w:p>
    <w:p w:rsidR="00B414CE" w:rsidRDefault="00B414CE" w:rsidP="006A3D38">
      <w:pPr>
        <w:jc w:val="right"/>
        <w:rPr>
          <w:sz w:val="30"/>
          <w:szCs w:val="30"/>
        </w:rPr>
      </w:pPr>
    </w:p>
    <w:p w:rsidR="00B67F79" w:rsidRDefault="00B67F79" w:rsidP="006A3D38">
      <w:pPr>
        <w:jc w:val="right"/>
        <w:rPr>
          <w:sz w:val="30"/>
          <w:szCs w:val="30"/>
        </w:rPr>
      </w:pP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rStyle w:val="a7"/>
          <w:color w:val="1B1B1B"/>
          <w:spacing w:val="1"/>
          <w:sz w:val="30"/>
          <w:szCs w:val="30"/>
        </w:rPr>
        <w:t>Историческая справка</w:t>
      </w: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12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Здание бывшей школы - памятник архитектуры, образец школьной архитектуры начала ХХ века. Построено в 1935 году. По типовым проектам в </w:t>
      </w:r>
      <w:proofErr w:type="spellStart"/>
      <w:r w:rsidRPr="006A3D38">
        <w:rPr>
          <w:color w:val="1B1B1B"/>
          <w:spacing w:val="1"/>
          <w:sz w:val="30"/>
          <w:szCs w:val="30"/>
        </w:rPr>
        <w:t>Виленском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воеводстве было построено 100 школ. Здание школы практически не изменилось и до 2008 года использовалось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>по прямому назначению.</w:t>
      </w: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12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Здание школы - одноэтажное в плане Г-образное, деревянное на щебеночном цоколе. Покрыто высокой шатровой крышей. Под крышей карниз значительной высоты, обшитый досками. Фасадные стены облицованы горизонтально, прорезаны прямоугольными оконными проемами двух типов (двухстворчатые и трехстворчатые) в простые наличники. На южном фасаде южного крыла двухстворчатые окна сгруппированы попарно. Две пары таких двойных окон доступны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>на заднем фасаде южного крыла и одна пара - на заднем фасаде западного крыла. Кроме того, при входе в стенах есть небольшие квадратные окна. Вход в здание с двух концов западного крыла. Акцентируется внимание на угловых колоннах, которые одновременно поддерживают угол подвесной крыши. Дверные проемы прямоугольные с фрамугами. Дверь, как и стены, обрамлена. Дополнительный дверной проем расположен на торцевом фасаде южного крыла.</w:t>
      </w: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12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В письменных источниках д. Комарово упоминается с середины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 xml:space="preserve">19 века, находилась в </w:t>
      </w:r>
      <w:proofErr w:type="spellStart"/>
      <w:r w:rsidRPr="006A3D38">
        <w:rPr>
          <w:color w:val="1B1B1B"/>
          <w:spacing w:val="1"/>
          <w:sz w:val="30"/>
          <w:szCs w:val="30"/>
        </w:rPr>
        <w:t>Свентянском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уезде </w:t>
      </w:r>
      <w:proofErr w:type="spellStart"/>
      <w:r w:rsidRPr="006A3D38">
        <w:rPr>
          <w:color w:val="1B1B1B"/>
          <w:spacing w:val="1"/>
          <w:sz w:val="30"/>
          <w:szCs w:val="30"/>
        </w:rPr>
        <w:t>Виленской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губернии,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 xml:space="preserve">с 1921 года в </w:t>
      </w:r>
      <w:proofErr w:type="spellStart"/>
      <w:r w:rsidRPr="006A3D38">
        <w:rPr>
          <w:color w:val="1B1B1B"/>
          <w:spacing w:val="1"/>
          <w:sz w:val="30"/>
          <w:szCs w:val="30"/>
        </w:rPr>
        <w:t>Дуниловичском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повете, с 1925 года в </w:t>
      </w:r>
      <w:proofErr w:type="spellStart"/>
      <w:r w:rsidRPr="006A3D38">
        <w:rPr>
          <w:color w:val="1B1B1B"/>
          <w:spacing w:val="1"/>
          <w:sz w:val="30"/>
          <w:szCs w:val="30"/>
        </w:rPr>
        <w:t>Поставском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повете </w:t>
      </w:r>
      <w:proofErr w:type="spellStart"/>
      <w:r w:rsidRPr="006A3D38">
        <w:rPr>
          <w:color w:val="1B1B1B"/>
          <w:spacing w:val="1"/>
          <w:sz w:val="30"/>
          <w:szCs w:val="30"/>
        </w:rPr>
        <w:t>Виленского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воеводства в составе Польши. Во второй половине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 xml:space="preserve">19 - первой половине 20 века деревня была центром имения. На месте </w:t>
      </w:r>
      <w:proofErr w:type="gramStart"/>
      <w:r w:rsidRPr="006A3D38">
        <w:rPr>
          <w:color w:val="1B1B1B"/>
          <w:spacing w:val="1"/>
          <w:sz w:val="30"/>
          <w:szCs w:val="30"/>
        </w:rPr>
        <w:t>современной</w:t>
      </w:r>
      <w:proofErr w:type="gramEnd"/>
      <w:r w:rsidRPr="006A3D38">
        <w:rPr>
          <w:color w:val="1B1B1B"/>
          <w:spacing w:val="1"/>
          <w:sz w:val="30"/>
          <w:szCs w:val="30"/>
        </w:rPr>
        <w:t xml:space="preserve"> д. Комарово раньше было два небольших местечка </w:t>
      </w:r>
      <w:proofErr w:type="spellStart"/>
      <w:r w:rsidRPr="006A3D38">
        <w:rPr>
          <w:color w:val="1B1B1B"/>
          <w:spacing w:val="1"/>
          <w:sz w:val="30"/>
          <w:szCs w:val="30"/>
        </w:rPr>
        <w:t>Кутьки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и Комарово, которые официально объединились 12 ноября 1966 года.</w:t>
      </w: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12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proofErr w:type="gramStart"/>
      <w:r w:rsidRPr="006A3D38">
        <w:rPr>
          <w:color w:val="1B1B1B"/>
          <w:spacing w:val="1"/>
          <w:sz w:val="30"/>
          <w:szCs w:val="30"/>
        </w:rPr>
        <w:t xml:space="preserve">Здание бывшей школы расположено по пути к одному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 xml:space="preserve">из красивейших природных комплексов «Голубые озера» - крутые овраги и холмы, петляющая лесная река, светлый сосновый бор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>и чистейшие озера.</w:t>
      </w:r>
      <w:proofErr w:type="gramEnd"/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Деревня Комарово, где находится школа, расположена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 xml:space="preserve">в </w:t>
      </w:r>
      <w:proofErr w:type="spellStart"/>
      <w:r w:rsidRPr="006A3D38">
        <w:rPr>
          <w:color w:val="1B1B1B"/>
          <w:spacing w:val="1"/>
          <w:sz w:val="30"/>
          <w:szCs w:val="30"/>
        </w:rPr>
        <w:t>Мядельском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районе Минской области, неподалеку от точки соприкосновения трех областей – Минской, Витебской и Гродненской. В пяти километрах располагается городской посёлок Свирь </w:t>
      </w:r>
      <w:r w:rsidR="00422579">
        <w:rPr>
          <w:color w:val="1B1B1B"/>
          <w:spacing w:val="1"/>
          <w:sz w:val="30"/>
          <w:szCs w:val="30"/>
        </w:rPr>
        <w:br/>
      </w:r>
      <w:r w:rsidRPr="006A3D38">
        <w:rPr>
          <w:color w:val="1B1B1B"/>
          <w:spacing w:val="1"/>
          <w:sz w:val="30"/>
          <w:szCs w:val="30"/>
        </w:rPr>
        <w:t>и одноименное озеро. Данная территория относится к Неманскому бассейну, однако сама река здесь не протекает. Через Комарово протекает ручей, впадающий в реку </w:t>
      </w:r>
      <w:proofErr w:type="spellStart"/>
      <w:r w:rsidRPr="00BC60E3">
        <w:rPr>
          <w:color w:val="1B1B1B"/>
          <w:spacing w:val="1"/>
          <w:sz w:val="30"/>
          <w:szCs w:val="30"/>
        </w:rPr>
        <w:t>Страча</w:t>
      </w:r>
      <w:proofErr w:type="spellEnd"/>
      <w:r w:rsidRPr="006A3D38">
        <w:rPr>
          <w:color w:val="1B1B1B"/>
          <w:spacing w:val="1"/>
          <w:sz w:val="30"/>
          <w:szCs w:val="30"/>
        </w:rPr>
        <w:t>.</w:t>
      </w:r>
    </w:p>
    <w:p w:rsidR="006A3D38" w:rsidRPr="006A3D38" w:rsidRDefault="006A3D38" w:rsidP="00B67F79">
      <w:pPr>
        <w:pStyle w:val="a6"/>
        <w:shd w:val="clear" w:color="auto" w:fill="FFFFFF"/>
        <w:spacing w:before="0" w:beforeAutospacing="0" w:after="120" w:afterAutospacing="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3D38">
        <w:rPr>
          <w:color w:val="1B1B1B"/>
          <w:spacing w:val="1"/>
          <w:sz w:val="30"/>
          <w:szCs w:val="30"/>
        </w:rPr>
        <w:t xml:space="preserve">Хорошо развитому транспортному сообщению способствует наличие двух автотрасс Р-45 Полоцк – Вильнюс и Р-95 </w:t>
      </w:r>
      <w:proofErr w:type="spellStart"/>
      <w:r w:rsidRPr="006A3D38">
        <w:rPr>
          <w:color w:val="1B1B1B"/>
          <w:spacing w:val="1"/>
          <w:sz w:val="30"/>
          <w:szCs w:val="30"/>
        </w:rPr>
        <w:t>Лынтупы</w:t>
      </w:r>
      <w:proofErr w:type="spellEnd"/>
      <w:r w:rsidRPr="006A3D38">
        <w:rPr>
          <w:color w:val="1B1B1B"/>
          <w:spacing w:val="1"/>
          <w:sz w:val="30"/>
          <w:szCs w:val="30"/>
        </w:rPr>
        <w:t xml:space="preserve"> - Гольшаны.</w:t>
      </w:r>
    </w:p>
    <w:p w:rsidR="006A3D38" w:rsidRPr="006A3D38" w:rsidRDefault="006A3D38" w:rsidP="006A3D38">
      <w:pPr>
        <w:jc w:val="right"/>
        <w:rPr>
          <w:sz w:val="30"/>
          <w:szCs w:val="30"/>
        </w:rPr>
      </w:pPr>
    </w:p>
    <w:sectPr w:rsidR="006A3D38" w:rsidRPr="006A3D38" w:rsidSect="00A17A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7C"/>
    <w:rsid w:val="00061E93"/>
    <w:rsid w:val="0011312E"/>
    <w:rsid w:val="001F2CCA"/>
    <w:rsid w:val="00422579"/>
    <w:rsid w:val="00510739"/>
    <w:rsid w:val="005B42C8"/>
    <w:rsid w:val="00613703"/>
    <w:rsid w:val="006A28C6"/>
    <w:rsid w:val="006A3D38"/>
    <w:rsid w:val="007A654F"/>
    <w:rsid w:val="0089137C"/>
    <w:rsid w:val="009C51A1"/>
    <w:rsid w:val="00A17A06"/>
    <w:rsid w:val="00B22B7C"/>
    <w:rsid w:val="00B414CE"/>
    <w:rsid w:val="00B67F79"/>
    <w:rsid w:val="00B839F4"/>
    <w:rsid w:val="00BC60E3"/>
    <w:rsid w:val="00CA2969"/>
    <w:rsid w:val="00D11AA0"/>
    <w:rsid w:val="00DC7F9D"/>
    <w:rsid w:val="00E4665D"/>
    <w:rsid w:val="00E77756"/>
    <w:rsid w:val="00F10856"/>
    <w:rsid w:val="00F6767A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2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2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lenie@myadel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1CC2-B031-4B46-8495-663DF90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Мартинович Дарья Михайловна</cp:lastModifiedBy>
  <cp:revision>3</cp:revision>
  <dcterms:created xsi:type="dcterms:W3CDTF">2025-06-09T08:42:00Z</dcterms:created>
  <dcterms:modified xsi:type="dcterms:W3CDTF">2025-06-09T08:44:00Z</dcterms:modified>
</cp:coreProperties>
</file>